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92" w:rsidRPr="00D53192" w:rsidRDefault="00D53192" w:rsidP="00D53192">
      <w:pPr>
        <w:spacing w:before="48" w:after="0" w:line="288" w:lineRule="auto"/>
        <w:ind w:right="120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/>
        </w:rPr>
      </w:pPr>
      <w:proofErr w:type="gramStart"/>
      <w:r w:rsidRPr="00D53192">
        <w:rPr>
          <w:rFonts w:ascii="Arial" w:eastAsia="Times New Roman" w:hAnsi="Arial" w:cs="Arial"/>
          <w:b/>
          <w:bCs/>
          <w:color w:val="000000"/>
          <w:sz w:val="18"/>
          <w:szCs w:val="18"/>
          <w:lang/>
        </w:rPr>
        <w:t>words</w:t>
      </w:r>
      <w:proofErr w:type="gramEnd"/>
      <w:r w:rsidRPr="00D53192">
        <w:rPr>
          <w:rFonts w:ascii="Arial" w:eastAsia="Times New Roman" w:hAnsi="Arial" w:cs="Arial"/>
          <w:b/>
          <w:bCs/>
          <w:color w:val="000000"/>
          <w:sz w:val="18"/>
          <w:szCs w:val="18"/>
          <w:lang/>
        </w:rPr>
        <w:t>:</w:t>
      </w:r>
    </w:p>
    <w:p w:rsidR="00D53192" w:rsidRPr="00D53192" w:rsidRDefault="00D53192" w:rsidP="00D53192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000000"/>
          <w:sz w:val="18"/>
          <w:szCs w:val="18"/>
          <w:lang/>
        </w:rPr>
      </w:pP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amino acids;</w:t>
      </w:r>
    </w:p>
    <w:p w:rsidR="00D53192" w:rsidRPr="00D53192" w:rsidRDefault="00D53192" w:rsidP="00D53192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000000"/>
          <w:sz w:val="18"/>
          <w:szCs w:val="18"/>
          <w:lang/>
        </w:rPr>
      </w:pP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bioindicator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;</w:t>
      </w:r>
    </w:p>
    <w:p w:rsidR="00D53192" w:rsidRPr="00D53192" w:rsidRDefault="00D53192" w:rsidP="00D53192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000000"/>
          <w:sz w:val="18"/>
          <w:szCs w:val="18"/>
          <w:lang/>
        </w:rPr>
      </w:pPr>
      <w:proofErr w:type="spellStart"/>
      <w:r w:rsidRPr="00D53192">
        <w:rPr>
          <w:rFonts w:ascii="Arial" w:eastAsia="Times New Roman" w:hAnsi="Arial" w:cs="Arial"/>
          <w:i/>
          <w:iCs/>
          <w:color w:val="000000"/>
          <w:sz w:val="18"/>
          <w:lang/>
        </w:rPr>
        <w:t>Gracilaria</w:t>
      </w:r>
      <w:proofErr w:type="spellEnd"/>
      <w:r w:rsidRPr="00D53192">
        <w:rPr>
          <w:rFonts w:ascii="Arial" w:eastAsia="Times New Roman" w:hAnsi="Arial" w:cs="Arial"/>
          <w:i/>
          <w:iCs/>
          <w:color w:val="000000"/>
          <w:sz w:val="18"/>
          <w:lang/>
        </w:rPr>
        <w:t xml:space="preserve"> </w:t>
      </w:r>
      <w:proofErr w:type="spellStart"/>
      <w:r w:rsidRPr="00D53192">
        <w:rPr>
          <w:rFonts w:ascii="Arial" w:eastAsia="Times New Roman" w:hAnsi="Arial" w:cs="Arial"/>
          <w:i/>
          <w:iCs/>
          <w:color w:val="000000"/>
          <w:sz w:val="18"/>
          <w:lang/>
        </w:rPr>
        <w:t>edulis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;</w:t>
      </w:r>
    </w:p>
    <w:p w:rsidR="00D53192" w:rsidRPr="00D53192" w:rsidRDefault="00D53192" w:rsidP="00D53192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000000"/>
          <w:sz w:val="18"/>
          <w:szCs w:val="18"/>
          <w:lang/>
        </w:rPr>
      </w:pP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macroalgae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;</w:t>
      </w:r>
    </w:p>
    <w:p w:rsidR="00D53192" w:rsidRPr="00D53192" w:rsidRDefault="00D53192" w:rsidP="00D53192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000000"/>
          <w:sz w:val="18"/>
          <w:szCs w:val="18"/>
          <w:lang/>
        </w:rPr>
      </w:pP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metabolic profiling;</w:t>
      </w:r>
    </w:p>
    <w:p w:rsidR="00D53192" w:rsidRPr="00D53192" w:rsidRDefault="00D53192" w:rsidP="00D53192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000000"/>
          <w:sz w:val="18"/>
          <w:szCs w:val="18"/>
          <w:lang/>
        </w:rPr>
      </w:pP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nutrients;</w:t>
      </w:r>
    </w:p>
    <w:p w:rsidR="00D53192" w:rsidRPr="00D53192" w:rsidRDefault="00D53192" w:rsidP="00D53192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000000"/>
          <w:sz w:val="18"/>
          <w:szCs w:val="18"/>
          <w:lang/>
        </w:rPr>
      </w:pP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pigments;</w:t>
      </w:r>
    </w:p>
    <w:p w:rsidR="00D53192" w:rsidRPr="00D53192" w:rsidRDefault="00D53192" w:rsidP="00D53192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000000"/>
          <w:sz w:val="18"/>
          <w:szCs w:val="18"/>
          <w:lang/>
        </w:rPr>
      </w:pP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Rhodophyta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;</w:t>
      </w:r>
    </w:p>
    <w:p w:rsidR="00D53192" w:rsidRPr="00D53192" w:rsidRDefault="00D53192" w:rsidP="00D53192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000000"/>
          <w:sz w:val="18"/>
          <w:szCs w:val="18"/>
          <w:lang/>
        </w:rPr>
      </w:pP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tissue nitrogen;</w:t>
      </w:r>
    </w:p>
    <w:p w:rsidR="00D53192" w:rsidRPr="00D53192" w:rsidRDefault="00D53192" w:rsidP="00D53192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000000"/>
          <w:sz w:val="18"/>
          <w:szCs w:val="18"/>
          <w:lang/>
        </w:rPr>
      </w:pP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water quality</w:t>
      </w:r>
    </w:p>
    <w:p w:rsidR="00D53192" w:rsidRPr="00D53192" w:rsidRDefault="00D53192" w:rsidP="00D53192">
      <w:pPr>
        <w:spacing w:after="0" w:line="288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/>
        </w:rPr>
      </w:pPr>
      <w:r w:rsidRPr="00D53192">
        <w:rPr>
          <w:rFonts w:ascii="Arial" w:eastAsia="Times New Roman" w:hAnsi="Arial" w:cs="Arial"/>
          <w:b/>
          <w:bCs/>
          <w:color w:val="000000"/>
          <w:sz w:val="27"/>
          <w:szCs w:val="27"/>
          <w:lang/>
        </w:rPr>
        <w:t>ABSTRACT</w:t>
      </w:r>
    </w:p>
    <w:p w:rsidR="00D53192" w:rsidRPr="00D53192" w:rsidRDefault="00D53192" w:rsidP="00D53192">
      <w:pPr>
        <w:spacing w:line="360" w:lineRule="atLeast"/>
        <w:rPr>
          <w:rFonts w:ascii="Arial" w:eastAsia="Times New Roman" w:hAnsi="Arial" w:cs="Arial"/>
          <w:color w:val="000000"/>
          <w:sz w:val="18"/>
          <w:szCs w:val="18"/>
          <w:lang/>
        </w:rPr>
      </w:pP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The use of 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macroalgae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as biological indicators of dissolved nutrient source and availability in the water column was investigated. Total tissue nitrogen (N) content, pigments, and amino acids of the red alga </w:t>
      </w:r>
      <w:proofErr w:type="spellStart"/>
      <w:r w:rsidRPr="00D53192">
        <w:rPr>
          <w:rFonts w:ascii="Arial" w:eastAsia="Times New Roman" w:hAnsi="Arial" w:cs="Arial"/>
          <w:i/>
          <w:iCs/>
          <w:color w:val="000000"/>
          <w:sz w:val="18"/>
          <w:lang/>
        </w:rPr>
        <w:t>Gracilaria</w:t>
      </w:r>
      <w:proofErr w:type="spellEnd"/>
      <w:r w:rsidRPr="00D53192">
        <w:rPr>
          <w:rFonts w:ascii="Arial" w:eastAsia="Times New Roman" w:hAnsi="Arial" w:cs="Arial"/>
          <w:i/>
          <w:iCs/>
          <w:color w:val="000000"/>
          <w:sz w:val="18"/>
          <w:lang/>
        </w:rPr>
        <w:t xml:space="preserve"> </w:t>
      </w:r>
      <w:proofErr w:type="spellStart"/>
      <w:r w:rsidRPr="00D53192">
        <w:rPr>
          <w:rFonts w:ascii="Arial" w:eastAsia="Times New Roman" w:hAnsi="Arial" w:cs="Arial"/>
          <w:i/>
          <w:iCs/>
          <w:color w:val="000000"/>
          <w:sz w:val="18"/>
          <w:lang/>
        </w:rPr>
        <w:t>edulis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(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Gmelin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) Silva were compared to N source and availability in laboratory and field incubations to identify responses that would serve as 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bioindicators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of N. Field-collected algae were 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preincubated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(6–8 wk) in low-nutrient seawater to deplete their luxury reserves 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ofN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. Incubations were then conducted for periods of 3 d in laboratory aquaria (N-spiked seawater) and in the field using 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macroalgal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incubation chambers. After incubation in different N sources (NH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bscript"/>
          <w:lang/>
        </w:rPr>
        <w:t>4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perscript"/>
          <w:lang/>
        </w:rPr>
        <w:t>+</w:t>
      </w: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, NO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bscript"/>
          <w:lang/>
        </w:rPr>
        <w:t>3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perscript"/>
          <w:lang/>
        </w:rPr>
        <w:t>−</w:t>
      </w: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, and urea) in laboratory aquaria, photosynthetic pigments (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phycoerythrin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and chlorophyll </w:t>
      </w:r>
      <w:r w:rsidRPr="00D53192">
        <w:rPr>
          <w:rFonts w:ascii="Arial" w:eastAsia="Times New Roman" w:hAnsi="Arial" w:cs="Arial"/>
          <w:i/>
          <w:iCs/>
          <w:color w:val="000000"/>
          <w:sz w:val="18"/>
          <w:lang/>
        </w:rPr>
        <w:t>a)</w:t>
      </w: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and total tissue N increased, in response to increasing [NH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bscript"/>
          <w:lang/>
        </w:rPr>
        <w:t>4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perscript"/>
          <w:lang/>
        </w:rPr>
        <w:t>+</w:t>
      </w: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] but not to [NO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bscript"/>
          <w:lang/>
        </w:rPr>
        <w:t>3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perscript"/>
          <w:lang/>
        </w:rPr>
        <w:t>−</w:t>
      </w: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] or [urea]. Incubation in two ranges of [NH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bscript"/>
          <w:lang/>
        </w:rPr>
        <w:t>4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perscript"/>
          <w:lang/>
        </w:rPr>
        <w:t>+</w:t>
      </w: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], one from 0 to 80 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μM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and the other from 0 to 800 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μM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, in laboratory aquaria increased the total amino acid pool. 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Citrulline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concentrations were the most responsive to [NH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bscript"/>
          <w:lang/>
        </w:rPr>
        <w:t>4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perscript"/>
          <w:lang/>
        </w:rPr>
        <w:t>+</w:t>
      </w: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] </w:t>
      </w:r>
      <w:r w:rsidRPr="00D53192">
        <w:rPr>
          <w:rFonts w:ascii="Arial" w:eastAsia="Times New Roman" w:hAnsi="Arial" w:cs="Arial"/>
          <w:i/>
          <w:iCs/>
          <w:color w:val="000000"/>
          <w:sz w:val="18"/>
          <w:lang/>
        </w:rPr>
        <w:t>(r</w:t>
      </w:r>
      <w:r w:rsidRPr="00D53192">
        <w:rPr>
          <w:rFonts w:ascii="Arial" w:eastAsia="Times New Roman" w:hAnsi="Arial" w:cs="Arial"/>
          <w:i/>
          <w:iCs/>
          <w:color w:val="000000"/>
          <w:sz w:val="14"/>
          <w:vertAlign w:val="superscript"/>
          <w:lang/>
        </w:rPr>
        <w:t>2</w:t>
      </w:r>
      <w:r w:rsidRPr="00D53192">
        <w:rPr>
          <w:rFonts w:ascii="Arial" w:eastAsia="Times New Roman" w:hAnsi="Arial" w:cs="Arial"/>
          <w:i/>
          <w:iCs/>
          <w:color w:val="000000"/>
          <w:sz w:val="18"/>
          <w:lang/>
        </w:rPr>
        <w:t>=</w:t>
      </w: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0. 84). NH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bscript"/>
          <w:lang/>
        </w:rPr>
        <w:t>4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perscript"/>
          <w:lang/>
        </w:rPr>
        <w:t>+</w:t>
      </w: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source treatments produced increases in 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citrulline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, phenylalanine, serine, and free NH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bscript"/>
          <w:lang/>
        </w:rPr>
        <w:t>4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perscript"/>
          <w:lang/>
        </w:rPr>
        <w:t>+</w:t>
      </w: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and decreases in 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alanine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; NO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bscript"/>
          <w:lang/>
        </w:rPr>
        <w:t>3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perscript"/>
          <w:lang/>
        </w:rPr>
        <w:t>−</w:t>
      </w: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treatments produced increases in 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glutamic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acid, 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citrulline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, and 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alanine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; and urea treatments produced increases in free NH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bscript"/>
          <w:lang/>
        </w:rPr>
        <w:t>4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perscript"/>
          <w:lang/>
        </w:rPr>
        <w:t>+</w:t>
      </w: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and decreases in phenylalanine and serine. The observed variations in amino acid content facilitated the development of an index for each N source based on relative concentrations of various amino acids (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i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. e. metabolic profiling). </w:t>
      </w:r>
      <w:proofErr w:type="spellStart"/>
      <w:r w:rsidRPr="00D53192">
        <w:rPr>
          <w:rFonts w:ascii="Arial" w:eastAsia="Times New Roman" w:hAnsi="Arial" w:cs="Arial"/>
          <w:i/>
          <w:iCs/>
          <w:color w:val="000000"/>
          <w:sz w:val="18"/>
          <w:lang/>
        </w:rPr>
        <w:t>Gracilaria</w:t>
      </w:r>
      <w:proofErr w:type="spellEnd"/>
      <w:r w:rsidRPr="00D53192">
        <w:rPr>
          <w:rFonts w:ascii="Arial" w:eastAsia="Times New Roman" w:hAnsi="Arial" w:cs="Arial"/>
          <w:i/>
          <w:iCs/>
          <w:color w:val="000000"/>
          <w:sz w:val="18"/>
          <w:lang/>
        </w:rPr>
        <w:t xml:space="preserve"> </w:t>
      </w:r>
      <w:proofErr w:type="spellStart"/>
      <w:r w:rsidRPr="00D53192">
        <w:rPr>
          <w:rFonts w:ascii="Arial" w:eastAsia="Times New Roman" w:hAnsi="Arial" w:cs="Arial"/>
          <w:i/>
          <w:iCs/>
          <w:color w:val="000000"/>
          <w:sz w:val="18"/>
          <w:lang/>
        </w:rPr>
        <w:t>edulis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was incubated along a field N gradient in the Brisbane River (three sites) and 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Moreton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Bay (four sites), Queensland, Australia. Both 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phycoerythrin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and tissue N appeared to respond equally to NH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bscript"/>
          <w:lang/>
        </w:rPr>
        <w:t>4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perscript"/>
          <w:lang/>
        </w:rPr>
        <w:t>+</w:t>
      </w: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and NO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bscript"/>
          <w:lang/>
        </w:rPr>
        <w:t>3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perscript"/>
          <w:lang/>
        </w:rPr>
        <w:t>−</w:t>
      </w: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availability in the field. N source indices, based on amino acid concentration, were effective predictors of both [NH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bscript"/>
          <w:lang/>
        </w:rPr>
        <w:t>4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perscript"/>
          <w:lang/>
        </w:rPr>
        <w:t>+</w:t>
      </w: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] and [NO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bscript"/>
          <w:lang/>
        </w:rPr>
        <w:t>3</w:t>
      </w:r>
      <w:r w:rsidRPr="00D53192">
        <w:rPr>
          <w:rFonts w:ascii="Arial" w:eastAsia="Times New Roman" w:hAnsi="Arial" w:cs="Arial"/>
          <w:color w:val="000000"/>
          <w:sz w:val="14"/>
          <w:szCs w:val="14"/>
          <w:vertAlign w:val="superscript"/>
          <w:lang/>
        </w:rPr>
        <w:t>−</w:t>
      </w:r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] over a wide range of concentrations along the field gradient. 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Macroalgal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physiological responses, particularly amino acid content, to changes in source and availability of N appear to be useful as sensitive </w:t>
      </w:r>
      <w:proofErr w:type="spellStart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>bioindicators</w:t>
      </w:r>
      <w:proofErr w:type="spellEnd"/>
      <w:r w:rsidRPr="00D53192"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 of N.</w:t>
      </w:r>
    </w:p>
    <w:p w:rsidR="007F337B" w:rsidRDefault="007F337B">
      <w:pPr>
        <w:rPr>
          <w:lang/>
        </w:rPr>
      </w:pPr>
    </w:p>
    <w:bookmarkStart w:id="0" w:name="Result_10"/>
    <w:p w:rsidR="00D53192" w:rsidRPr="00D53192" w:rsidRDefault="00D53192" w:rsidP="00D531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783"/>
        <w:textAlignment w:val="center"/>
        <w:rPr>
          <w:rFonts w:ascii="Tahoma" w:eastAsia="Times New Roman" w:hAnsi="Tahoma" w:cs="Tahoma"/>
          <w:color w:val="333333"/>
          <w:sz w:val="18"/>
          <w:szCs w:val="18"/>
        </w:rPr>
      </w:pPr>
      <w:r w:rsidRPr="00D53192">
        <w:rPr>
          <w:rFonts w:ascii="Tahoma" w:eastAsia="Times New Roman" w:hAnsi="Tahoma" w:cs="Tahoma"/>
          <w:color w:val="333333"/>
          <w:sz w:val="32"/>
          <w:szCs w:val="32"/>
        </w:rPr>
        <w:lastRenderedPageBreak/>
        <w:fldChar w:fldCharType="begin"/>
      </w:r>
      <w:r w:rsidRPr="00D53192">
        <w:rPr>
          <w:rFonts w:ascii="Tahoma" w:eastAsia="Times New Roman" w:hAnsi="Tahoma" w:cs="Tahoma"/>
          <w:color w:val="333333"/>
          <w:sz w:val="32"/>
          <w:szCs w:val="32"/>
        </w:rPr>
        <w:instrText xml:space="preserve"> HYPERLINK "http://web.ebscohost.com/ehost/viewarticle?data=dGJyMPPp44rp2%2fdV0%2bnjisfk5Ie46bZQtKivSrOk63nn5Kx95uXxjL6nr0evqK1KrqeuOK%2bwr0i4prc4zsOkjPDX7Ivf2fKB7eTnfLujsEiyrrFOtqi2PurX7H%2b72%2bw%2b4ti7eu3epIzf3btZzJzfhru4v1vCp7dRta%2b3Sraus02vnOSH8OPfjLvc84Tq6uOQ8gAA&amp;hid=7" \o "Macroalgal responses to nitrogen source and availability: Amino acid metabolic profiling as a bioindicator using Gracilaria edulis (Rhodophyta)" </w:instrText>
      </w:r>
      <w:r w:rsidRPr="00D53192">
        <w:rPr>
          <w:rFonts w:ascii="Tahoma" w:eastAsia="Times New Roman" w:hAnsi="Tahoma" w:cs="Tahoma"/>
          <w:color w:val="333333"/>
          <w:sz w:val="32"/>
          <w:szCs w:val="32"/>
        </w:rPr>
        <w:fldChar w:fldCharType="separate"/>
      </w:r>
      <w:proofErr w:type="spellStart"/>
      <w:r w:rsidRPr="00D53192">
        <w:rPr>
          <w:rFonts w:ascii="Tahoma" w:eastAsia="Times New Roman" w:hAnsi="Tahoma" w:cs="Tahoma"/>
          <w:color w:val="005BC6"/>
          <w:sz w:val="24"/>
          <w:szCs w:val="24"/>
        </w:rPr>
        <w:t>Macroalgal</w:t>
      </w:r>
      <w:proofErr w:type="spellEnd"/>
      <w:r w:rsidRPr="00D53192">
        <w:rPr>
          <w:rFonts w:ascii="Tahoma" w:eastAsia="Times New Roman" w:hAnsi="Tahoma" w:cs="Tahoma"/>
          <w:color w:val="005BC6"/>
          <w:sz w:val="24"/>
          <w:szCs w:val="24"/>
        </w:rPr>
        <w:t xml:space="preserve"> responses to nitrogen source and availability: Amino acid metabolic profiling as a </w:t>
      </w:r>
      <w:proofErr w:type="spellStart"/>
      <w:r w:rsidRPr="00D53192">
        <w:rPr>
          <w:rFonts w:ascii="Tahoma" w:eastAsia="Times New Roman" w:hAnsi="Tahoma" w:cs="Tahoma"/>
          <w:color w:val="005BC6"/>
          <w:sz w:val="24"/>
          <w:szCs w:val="24"/>
        </w:rPr>
        <w:t>bioindicator</w:t>
      </w:r>
      <w:proofErr w:type="spellEnd"/>
      <w:r w:rsidRPr="00D53192">
        <w:rPr>
          <w:rFonts w:ascii="Tahoma" w:eastAsia="Times New Roman" w:hAnsi="Tahoma" w:cs="Tahoma"/>
          <w:color w:val="005BC6"/>
          <w:sz w:val="24"/>
          <w:szCs w:val="24"/>
        </w:rPr>
        <w:t xml:space="preserve"> using </w:t>
      </w:r>
      <w:proofErr w:type="spellStart"/>
      <w:r w:rsidRPr="00D53192">
        <w:rPr>
          <w:rFonts w:ascii="Tahoma" w:eastAsia="Times New Roman" w:hAnsi="Tahoma" w:cs="Tahoma"/>
          <w:color w:val="005BC6"/>
          <w:sz w:val="24"/>
          <w:szCs w:val="24"/>
        </w:rPr>
        <w:t>Gracilaria</w:t>
      </w:r>
      <w:proofErr w:type="spellEnd"/>
      <w:r w:rsidRPr="00D53192">
        <w:rPr>
          <w:rFonts w:ascii="Tahoma" w:eastAsia="Times New Roman" w:hAnsi="Tahoma" w:cs="Tahoma"/>
          <w:color w:val="005BC6"/>
          <w:sz w:val="24"/>
          <w:szCs w:val="24"/>
        </w:rPr>
        <w:t xml:space="preserve"> </w:t>
      </w:r>
      <w:proofErr w:type="spellStart"/>
      <w:r w:rsidRPr="00D53192">
        <w:rPr>
          <w:rFonts w:ascii="Tahoma" w:eastAsia="Times New Roman" w:hAnsi="Tahoma" w:cs="Tahoma"/>
          <w:color w:val="005BC6"/>
          <w:sz w:val="24"/>
          <w:szCs w:val="24"/>
        </w:rPr>
        <w:t>edulis</w:t>
      </w:r>
      <w:proofErr w:type="spellEnd"/>
      <w:r w:rsidRPr="00D53192">
        <w:rPr>
          <w:rFonts w:ascii="Tahoma" w:eastAsia="Times New Roman" w:hAnsi="Tahoma" w:cs="Tahoma"/>
          <w:color w:val="005BC6"/>
          <w:sz w:val="24"/>
          <w:szCs w:val="24"/>
        </w:rPr>
        <w:t xml:space="preserve"> (</w:t>
      </w:r>
      <w:proofErr w:type="spellStart"/>
      <w:r w:rsidRPr="00D53192">
        <w:rPr>
          <w:rFonts w:ascii="Tahoma" w:eastAsia="Times New Roman" w:hAnsi="Tahoma" w:cs="Tahoma"/>
          <w:color w:val="005BC6"/>
          <w:sz w:val="24"/>
          <w:szCs w:val="24"/>
        </w:rPr>
        <w:t>Rhodophyta</w:t>
      </w:r>
      <w:proofErr w:type="spellEnd"/>
      <w:proofErr w:type="gramStart"/>
      <w:r w:rsidRPr="00D53192">
        <w:rPr>
          <w:rFonts w:ascii="Tahoma" w:eastAsia="Times New Roman" w:hAnsi="Tahoma" w:cs="Tahoma"/>
          <w:color w:val="005BC6"/>
          <w:sz w:val="24"/>
          <w:szCs w:val="24"/>
        </w:rPr>
        <w:t>)</w:t>
      </w:r>
      <w:proofErr w:type="gramEnd"/>
      <w:r w:rsidRPr="00D53192">
        <w:rPr>
          <w:rFonts w:ascii="Tahoma" w:eastAsia="Times New Roman" w:hAnsi="Tahoma" w:cs="Tahoma"/>
          <w:color w:val="333333"/>
          <w:sz w:val="32"/>
          <w:szCs w:val="32"/>
        </w:rPr>
        <w:fldChar w:fldCharType="end"/>
      </w:r>
      <w:bookmarkEnd w:id="0"/>
      <w:r w:rsidRPr="00D53192">
        <w:rPr>
          <w:rFonts w:ascii="Tahoma" w:eastAsia="Times New Roman" w:hAnsi="Tahoma" w:cs="Tahoma"/>
          <w:color w:val="333333"/>
          <w:sz w:val="24"/>
          <w:szCs w:val="24"/>
        </w:rPr>
        <w:t>Detail Only Available</w:t>
      </w:r>
      <w:r w:rsidRPr="00D53192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Pr="00D53192">
        <w:rPr>
          <w:rFonts w:ascii="Tahoma" w:eastAsia="Times New Roman" w:hAnsi="Tahoma" w:cs="Tahoma"/>
          <w:color w:val="30773F"/>
          <w:sz w:val="18"/>
        </w:rPr>
        <w:t>By: Jones, Adrian B.; Dennison, William C.; Stewart, George R.</w:t>
      </w:r>
      <w:r w:rsidRPr="00D53192">
        <w:rPr>
          <w:rFonts w:ascii="Tahoma" w:eastAsia="Times New Roman" w:hAnsi="Tahoma" w:cs="Tahoma"/>
          <w:color w:val="333333"/>
          <w:sz w:val="18"/>
        </w:rPr>
        <w:t> </w:t>
      </w:r>
      <w:r w:rsidRPr="00D53192">
        <w:rPr>
          <w:rFonts w:ascii="Tahoma" w:eastAsia="Times New Roman" w:hAnsi="Tahoma" w:cs="Tahoma"/>
          <w:color w:val="30773F"/>
          <w:sz w:val="18"/>
        </w:rPr>
        <w:t xml:space="preserve">Source: Journal of </w:t>
      </w:r>
      <w:proofErr w:type="spellStart"/>
      <w:r w:rsidRPr="00D53192">
        <w:rPr>
          <w:rFonts w:ascii="Tahoma" w:eastAsia="Times New Roman" w:hAnsi="Tahoma" w:cs="Tahoma"/>
          <w:color w:val="30773F"/>
          <w:sz w:val="18"/>
        </w:rPr>
        <w:t>Phycology</w:t>
      </w:r>
      <w:proofErr w:type="spellEnd"/>
      <w:r w:rsidRPr="00D53192">
        <w:rPr>
          <w:rFonts w:ascii="Tahoma" w:eastAsia="Times New Roman" w:hAnsi="Tahoma" w:cs="Tahoma"/>
          <w:color w:val="30773F"/>
          <w:sz w:val="18"/>
        </w:rPr>
        <w:t>, Vol. 32 (5). 1996. 757-766. Abstract Available. [Article] (AN BACD199799288551)</w:t>
      </w:r>
      <w:r w:rsidRPr="00D53192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</w:p>
    <w:p w:rsidR="00D53192" w:rsidRPr="00D53192" w:rsidRDefault="00D53192" w:rsidP="00D53192">
      <w:pPr>
        <w:shd w:val="clear" w:color="auto" w:fill="FFFFFF"/>
        <w:spacing w:before="100" w:beforeAutospacing="1" w:after="100" w:afterAutospacing="1" w:line="360" w:lineRule="atLeast"/>
        <w:ind w:left="1783"/>
        <w:textAlignment w:val="center"/>
        <w:rPr>
          <w:rFonts w:ascii="Tahoma" w:eastAsia="Times New Roman" w:hAnsi="Tahoma" w:cs="Tahoma"/>
          <w:color w:val="333333"/>
          <w:sz w:val="18"/>
          <w:szCs w:val="18"/>
        </w:rPr>
      </w:pPr>
      <w:r w:rsidRPr="00D53192">
        <w:rPr>
          <w:rFonts w:ascii="Tahoma" w:eastAsia="Times New Roman" w:hAnsi="Tahoma" w:cs="Tahoma"/>
          <w:color w:val="333333"/>
          <w:sz w:val="18"/>
          <w:szCs w:val="18"/>
        </w:rPr>
        <w:t xml:space="preserve">The use of </w:t>
      </w:r>
      <w:proofErr w:type="spellStart"/>
      <w:r w:rsidRPr="00D53192">
        <w:rPr>
          <w:rFonts w:ascii="Tahoma" w:eastAsia="Times New Roman" w:hAnsi="Tahoma" w:cs="Tahoma"/>
          <w:color w:val="333333"/>
          <w:sz w:val="18"/>
          <w:szCs w:val="18"/>
        </w:rPr>
        <w:t>macroalgae</w:t>
      </w:r>
      <w:proofErr w:type="spellEnd"/>
      <w:r w:rsidRPr="00D53192">
        <w:rPr>
          <w:rFonts w:ascii="Tahoma" w:eastAsia="Times New Roman" w:hAnsi="Tahoma" w:cs="Tahoma"/>
          <w:color w:val="333333"/>
          <w:sz w:val="18"/>
          <w:szCs w:val="18"/>
        </w:rPr>
        <w:t xml:space="preserve"> as biological indicators of dissolved nutrient source and availability in the water column was investigated. Total tissue nitrogen (N) content, pigments, and amino acids </w:t>
      </w:r>
      <w:proofErr w:type="gramStart"/>
      <w:r w:rsidRPr="00D53192">
        <w:rPr>
          <w:rFonts w:ascii="Tahoma" w:eastAsia="Times New Roman" w:hAnsi="Tahoma" w:cs="Tahoma"/>
          <w:color w:val="333333"/>
          <w:sz w:val="18"/>
          <w:szCs w:val="18"/>
        </w:rPr>
        <w:t>of ...</w:t>
      </w:r>
      <w:proofErr w:type="gramEnd"/>
    </w:p>
    <w:p w:rsidR="00D53192" w:rsidRPr="00D53192" w:rsidRDefault="00D53192" w:rsidP="00D53192">
      <w:pPr>
        <w:shd w:val="clear" w:color="auto" w:fill="FFFFFF"/>
        <w:spacing w:before="100" w:beforeAutospacing="1" w:after="100" w:afterAutospacing="1" w:line="360" w:lineRule="atLeast"/>
        <w:ind w:left="1783"/>
        <w:textAlignment w:val="center"/>
        <w:rPr>
          <w:rFonts w:ascii="Tahoma" w:eastAsia="Times New Roman" w:hAnsi="Tahoma" w:cs="Tahoma"/>
          <w:color w:val="333333"/>
          <w:sz w:val="18"/>
          <w:szCs w:val="18"/>
        </w:rPr>
      </w:pPr>
      <w:r w:rsidRPr="00D53192">
        <w:rPr>
          <w:rFonts w:ascii="Tahoma" w:eastAsia="Times New Roman" w:hAnsi="Tahoma" w:cs="Tahoma"/>
          <w:color w:val="333333"/>
          <w:sz w:val="18"/>
          <w:szCs w:val="18"/>
        </w:rPr>
        <w:t>Subjects: Biochemistry and Molecular Biophysics; Ecology; Marine Ecology; Metabolism; Nutrition; Environmental Sciences; Ecology; ; ; ALGAL RESPONSE; AMINO ACID; AMMONIUM; AVAILABILITY; BIOINDICATOR; MARINE ECOLOGY; METABOLIC PROFILE; NITRATE; NITROGEN; NUTRIENT AVAILABILITY; NUTRITION; SOURCE</w:t>
      </w:r>
    </w:p>
    <w:p w:rsidR="00D53192" w:rsidRPr="00D53192" w:rsidRDefault="00D53192"/>
    <w:sectPr w:rsidR="00D53192" w:rsidRPr="00D53192" w:rsidSect="007F3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22480"/>
    <w:multiLevelType w:val="multilevel"/>
    <w:tmpl w:val="847C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D4A3C"/>
    <w:multiLevelType w:val="multilevel"/>
    <w:tmpl w:val="2308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D53192"/>
    <w:rsid w:val="007F337B"/>
    <w:rsid w:val="00B742E3"/>
    <w:rsid w:val="00D5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3192"/>
    <w:rPr>
      <w:b w:val="0"/>
      <w:bCs w:val="0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53192"/>
    <w:rPr>
      <w:strike w:val="0"/>
      <w:dstrike w:val="0"/>
      <w:color w:val="005BC6"/>
      <w:u w:val="none"/>
      <w:effect w:val="none"/>
    </w:rPr>
  </w:style>
  <w:style w:type="character" w:customStyle="1" w:styleId="title-link-wrapper1">
    <w:name w:val="title-link-wrapper1"/>
    <w:basedOn w:val="DefaultParagraphFont"/>
    <w:rsid w:val="00D53192"/>
    <w:rPr>
      <w:vanish w:val="0"/>
      <w:webHidden w:val="0"/>
      <w:sz w:val="32"/>
      <w:szCs w:val="32"/>
      <w:specVanish w:val="0"/>
    </w:rPr>
  </w:style>
  <w:style w:type="character" w:customStyle="1" w:styleId="hidden2">
    <w:name w:val="hidden2"/>
    <w:basedOn w:val="DefaultParagraphFont"/>
    <w:rsid w:val="00D53192"/>
  </w:style>
  <w:style w:type="character" w:customStyle="1" w:styleId="medium-font">
    <w:name w:val="medium-font"/>
    <w:basedOn w:val="DefaultParagraphFont"/>
    <w:rsid w:val="00D53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45449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205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2" w:color="E1E9EB"/>
                            <w:bottom w:val="single" w:sz="8" w:space="0" w:color="E1E9EB"/>
                            <w:right w:val="none" w:sz="0" w:space="0" w:color="auto"/>
                          </w:divBdr>
                          <w:divsChild>
                            <w:div w:id="639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6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4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54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9366">
                  <w:marLeft w:val="0"/>
                  <w:marRight w:val="0"/>
                  <w:marTop w:val="0"/>
                  <w:marBottom w:val="0"/>
                  <w:divBdr>
                    <w:top w:val="single" w:sz="4" w:space="0" w:color="BFC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7828">
                      <w:marLeft w:val="223"/>
                      <w:marRight w:val="22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8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4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837">
                                          <w:marLeft w:val="8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25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536068">
                                                  <w:marLeft w:val="0"/>
                                                  <w:marRight w:val="0"/>
                                                  <w:marTop w:val="22"/>
                                                  <w:marBottom w:val="2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53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colladol</dc:creator>
  <cp:keywords/>
  <dc:description/>
  <cp:lastModifiedBy>colladol</cp:lastModifiedBy>
  <cp:revision>1</cp:revision>
  <dcterms:created xsi:type="dcterms:W3CDTF">2010-11-12T18:58:00Z</dcterms:created>
  <dcterms:modified xsi:type="dcterms:W3CDTF">2010-11-12T20:05:00Z</dcterms:modified>
</cp:coreProperties>
</file>